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0"/>
        <w:tabs>
          <w:tab w:val="right" w:pos="9639"/>
          <w:tab w:val="clear" w:pos="4153"/>
          <w:tab w:val="clear" w:pos="8306"/>
        </w:tabs>
        <w:rPr>
          <w:rFonts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sv-SE"/>
        </w:rPr>
        <w:t>3GPP TSG WG RAN1 #11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6</w:t>
      </w:r>
      <w:r>
        <w:rPr>
          <w:rFonts w:ascii="Arial" w:hAnsi="Arial" w:cs="Arial"/>
          <w:b/>
          <w:bCs/>
          <w:sz w:val="24"/>
          <w:szCs w:val="24"/>
          <w:lang w:val="sv-SE"/>
        </w:rPr>
        <w:tab/>
      </w:r>
      <w:r>
        <w:rPr>
          <w:rFonts w:ascii="Arial" w:hAnsi="Arial" w:cs="Arial"/>
          <w:b/>
          <w:bCs/>
          <w:sz w:val="24"/>
          <w:szCs w:val="24"/>
          <w:lang w:val="sv-SE"/>
        </w:rPr>
        <w:t>R1-</w:t>
      </w:r>
      <w:r>
        <w:rPr>
          <w:rFonts w:ascii="Arial" w:hAnsi="Arial" w:cs="Arial"/>
          <w:b/>
          <w:sz w:val="24"/>
          <w:szCs w:val="24"/>
          <w:lang w:val="sv-SE"/>
        </w:rPr>
        <w:t>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400282</w:t>
      </w:r>
    </w:p>
    <w:p>
      <w:pPr>
        <w:rPr>
          <w:rFonts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Athens, Greece,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February 26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March 1</w:t>
      </w:r>
      <w:r>
        <w:rPr>
          <w:rFonts w:hint="eastAsia" w:ascii="Arial" w:hAnsi="Arial" w:eastAsia="宋体" w:cs="Arial"/>
          <w:b/>
          <w:bCs/>
          <w:sz w:val="24"/>
          <w:szCs w:val="24"/>
          <w:vertAlign w:val="superscript"/>
          <w:lang w:val="en-US" w:eastAsia="zh-CN"/>
        </w:rPr>
        <w:t>st</w:t>
      </w:r>
      <w:r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4</w:t>
      </w:r>
    </w:p>
    <w:p>
      <w:pPr>
        <w:rPr>
          <w:rFonts w:ascii="Arial" w:hAnsi="Arial" w:eastAsia="宋体" w:cs="Arial"/>
          <w:b/>
          <w:bCs/>
          <w:sz w:val="24"/>
          <w:szCs w:val="24"/>
          <w:lang w:val="en-US" w:eastAsia="zh-CN"/>
        </w:rPr>
      </w:pPr>
    </w:p>
    <w:p>
      <w:pPr>
        <w:rPr>
          <w:rFonts w:ascii="Arial" w:hAnsi="Arial" w:eastAsia="宋体" w:cs="Arial"/>
          <w:b/>
          <w:bCs/>
          <w:sz w:val="24"/>
          <w:szCs w:val="24"/>
          <w:lang w:val="en-US" w:eastAsia="zh-CN"/>
        </w:rPr>
      </w:pPr>
    </w:p>
    <w:p>
      <w:pPr>
        <w:pStyle w:val="21"/>
        <w:spacing w:before="0"/>
        <w:rPr>
          <w:b w:val="0"/>
        </w:rPr>
      </w:pPr>
      <w:bookmarkStart w:id="0" w:name="_Hlk69800918"/>
      <w:r>
        <w:t>Title:</w:t>
      </w:r>
      <w:r>
        <w:tab/>
      </w:r>
      <w:r>
        <w:rPr>
          <w:rFonts w:hint="eastAsia" w:eastAsia="宋体"/>
          <w:b w:val="0"/>
          <w:lang w:val="en-US" w:eastAsia="zh-CN"/>
        </w:rPr>
        <w:t>Draft r</w:t>
      </w:r>
      <w:r>
        <w:rPr>
          <w:b w:val="0"/>
        </w:rPr>
        <w:t xml:space="preserve">eply LS </w:t>
      </w:r>
      <w:r>
        <w:rPr>
          <w:rFonts w:hint="eastAsia"/>
          <w:b w:val="0"/>
        </w:rPr>
        <w:t>to RAN4 on n-TimingAdvanceOffset for PDCCH order RACH</w:t>
      </w:r>
    </w:p>
    <w:p>
      <w:pPr>
        <w:pStyle w:val="21"/>
        <w:spacing w:before="0"/>
      </w:pPr>
      <w:r>
        <w:t>Response to:</w:t>
      </w:r>
      <w:r>
        <w:tab/>
      </w:r>
      <w:r>
        <w:rPr>
          <w:rFonts w:hint="eastAsia"/>
          <w:b w:val="0"/>
        </w:rPr>
        <w:t>R4-2321389</w:t>
      </w:r>
      <w:r>
        <w:t xml:space="preserve"> </w:t>
      </w:r>
    </w:p>
    <w:p>
      <w:pPr>
        <w:pStyle w:val="21"/>
        <w:spacing w:before="0"/>
      </w:pPr>
      <w:r>
        <w:t>Release:</w:t>
      </w:r>
      <w:r>
        <w:tab/>
      </w:r>
      <w:r>
        <w:rPr>
          <w:b w:val="0"/>
        </w:rPr>
        <w:t>Rel-18</w:t>
      </w:r>
    </w:p>
    <w:p>
      <w:pPr>
        <w:pStyle w:val="21"/>
        <w:spacing w:before="0"/>
      </w:pPr>
      <w:r>
        <w:t>Work Item:</w:t>
      </w:r>
      <w:r>
        <w:tab/>
      </w:r>
      <w:r>
        <w:rPr>
          <w:b w:val="0"/>
        </w:rPr>
        <w:t>NR_Mob_enh2-Core</w:t>
      </w:r>
      <w:r>
        <w:t xml:space="preserve"> 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42"/>
        <w:rPr>
          <w:rFonts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b w:val="0"/>
          <w:lang w:val="en-US" w:eastAsia="zh-CN"/>
        </w:rPr>
        <w:t>ZTE</w:t>
      </w:r>
    </w:p>
    <w:p>
      <w:pPr>
        <w:pStyle w:val="42"/>
        <w:rPr>
          <w:rFonts w:eastAsia="宋体"/>
          <w:lang w:eastAsia="zh-CN"/>
        </w:rPr>
      </w:pPr>
      <w:r>
        <w:t>To:</w:t>
      </w:r>
      <w:r>
        <w:tab/>
      </w:r>
      <w:r>
        <w:rPr>
          <w:b w:val="0"/>
        </w:rPr>
        <w:t>RAN</w:t>
      </w:r>
      <w:r>
        <w:rPr>
          <w:rFonts w:hint="eastAsia" w:eastAsia="宋体"/>
          <w:b w:val="0"/>
          <w:lang w:val="en-US" w:eastAsia="zh-CN"/>
        </w:rPr>
        <w:t>4</w:t>
      </w:r>
    </w:p>
    <w:p>
      <w:pPr>
        <w:pStyle w:val="42"/>
        <w:rPr>
          <w:rFonts w:eastAsia="宋体"/>
          <w:lang w:eastAsia="zh-CN"/>
        </w:rPr>
      </w:pPr>
      <w:r>
        <w:t>Cc:</w:t>
      </w:r>
      <w:r>
        <w:tab/>
      </w:r>
      <w:r>
        <w:rPr>
          <w:b w:val="0"/>
        </w:rPr>
        <w:t>RAN</w:t>
      </w:r>
      <w:r>
        <w:rPr>
          <w:rFonts w:hint="eastAsia" w:eastAsia="宋体"/>
          <w:b w:val="0"/>
          <w:lang w:val="en-US" w:eastAsia="zh-CN"/>
        </w:rPr>
        <w:t>2</w:t>
      </w:r>
    </w:p>
    <w:bookmarkEnd w:id="0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43"/>
        <w:tabs>
          <w:tab w:val="clear" w:pos="2268"/>
        </w:tabs>
        <w:rPr>
          <w:rFonts w:eastAsia="宋体"/>
          <w:bCs/>
          <w:lang w:val="en-US" w:eastAsia="zh-CN"/>
        </w:rPr>
      </w:pPr>
      <w:r>
        <w:t>Name:</w:t>
      </w:r>
      <w:r>
        <w:rPr>
          <w:bCs/>
        </w:rPr>
        <w:tab/>
      </w:r>
    </w:p>
    <w:p>
      <w:pPr>
        <w:pStyle w:val="43"/>
        <w:tabs>
          <w:tab w:val="clear" w:pos="2268"/>
        </w:tabs>
        <w:rPr>
          <w:bCs/>
          <w:color w:val="0000FF"/>
        </w:rPr>
      </w:pPr>
      <w:r>
        <w:t>E-mail Address:</w:t>
      </w:r>
      <w:r>
        <w:rPr>
          <w:bCs/>
          <w:color w:val="0000FF"/>
        </w:rPr>
        <w:tab/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pStyle w:val="20"/>
        <w:jc w:val="both"/>
        <w:rPr>
          <w:rFonts w:ascii="Arial" w:hAnsi="Arial" w:cs="Arial"/>
        </w:rPr>
      </w:pPr>
    </w:p>
    <w:p>
      <w:pPr>
        <w:spacing w:after="120" w:line="259" w:lineRule="auto"/>
        <w:rPr>
          <w:rFonts w:ascii="Arial" w:hAnsi="Arial" w:cs="Arial" w:eastAsiaTheme="minorHAnsi"/>
          <w:b/>
          <w:lang w:val="en-US"/>
        </w:rPr>
      </w:pPr>
      <w:r>
        <w:rPr>
          <w:rFonts w:ascii="Arial" w:hAnsi="Arial" w:cs="Arial" w:eastAsiaTheme="minorHAnsi"/>
          <w:b/>
          <w:lang w:val="en-US"/>
        </w:rPr>
        <w:t>1. Overall Description:</w:t>
      </w:r>
    </w:p>
    <w:p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Cs/>
          <w:lang w:eastAsia="ja-JP"/>
        </w:rPr>
        <w:t>RAN1 thanks RAN</w:t>
      </w:r>
      <w:r>
        <w:rPr>
          <w:rFonts w:hint="eastAsia" w:ascii="Arial" w:hAnsi="Arial" w:eastAsia="宋体" w:cs="Arial"/>
          <w:bCs/>
          <w:lang w:val="en-US" w:eastAsia="zh-CN"/>
        </w:rPr>
        <w:t>4</w:t>
      </w:r>
      <w:r>
        <w:rPr>
          <w:rFonts w:ascii="Arial" w:hAnsi="Arial" w:cs="Arial"/>
          <w:bCs/>
          <w:lang w:eastAsia="ja-JP"/>
        </w:rPr>
        <w:t xml:space="preserve"> for the LS </w:t>
      </w:r>
      <w:r>
        <w:rPr>
          <w:rFonts w:ascii="Arial" w:hAnsi="Arial" w:cs="Arial"/>
          <w:bCs/>
          <w:color w:val="000000"/>
          <w:lang w:eastAsia="ja-JP"/>
        </w:rPr>
        <w:t xml:space="preserve">on </w:t>
      </w:r>
      <w:r>
        <w:rPr>
          <w:rFonts w:ascii="Arial" w:hAnsi="Arial" w:cs="Arial"/>
          <w:bCs/>
        </w:rPr>
        <w:t>n-TimingAdvanceOffset</w:t>
      </w:r>
      <w:r>
        <w:rPr>
          <w:rFonts w:hint="eastAsia" w:ascii="Arial" w:hAnsi="Arial" w:eastAsia="宋体" w:cs="Arial"/>
          <w:bCs/>
          <w:color w:val="000000"/>
          <w:lang w:val="en-US" w:eastAsia="zh-CN"/>
        </w:rPr>
        <w:t xml:space="preserve"> for PDCCH-order RACH on target neighbour cell. Actually, for the issue on introducing a new parameter </w:t>
      </w:r>
      <w:r>
        <w:rPr>
          <w:rFonts w:ascii="Arial" w:hAnsi="Arial" w:eastAsia="宋体" w:cs="Arial"/>
          <w:bCs/>
          <w:color w:val="000000"/>
          <w:lang w:val="en-US" w:eastAsia="zh-CN"/>
        </w:rPr>
        <w:t>“</w:t>
      </w:r>
      <w:r>
        <w:rPr>
          <w:rFonts w:ascii="Arial" w:hAnsi="Arial" w:cs="Arial"/>
          <w:bCs/>
        </w:rPr>
        <w:t>n-TimingAdvanceOffset</w:t>
      </w:r>
      <w:r>
        <w:rPr>
          <w:rFonts w:ascii="Arial" w:hAnsi="Arial" w:eastAsia="宋体" w:cs="Arial"/>
          <w:bCs/>
          <w:lang w:val="en-US" w:eastAsia="zh-CN"/>
        </w:rPr>
        <w:t>”</w:t>
      </w:r>
      <w:r>
        <w:rPr>
          <w:rFonts w:hint="eastAsia" w:ascii="Arial" w:hAnsi="Arial" w:eastAsia="宋体" w:cs="Arial"/>
          <w:bCs/>
          <w:lang w:val="en-US" w:eastAsia="zh-CN"/>
        </w:rPr>
        <w:t xml:space="preserve"> in early RACH configuration for each target neighbour cell, RAN1 has already discussed and reached consensus in RAN1 #115 meeting, as follows:</w:t>
      </w:r>
    </w:p>
    <w:p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eastAsia="宋体" w:cs="Arial"/>
          <w:bCs/>
          <w:lang w:val="en-US" w:eastAsia="zh-CN"/>
        </w:rPr>
      </w:pPr>
    </w:p>
    <w:tbl>
      <w:tblPr>
        <w:tblStyle w:val="24"/>
        <w:tblW w:w="0" w:type="auto"/>
        <w:tblInd w:w="1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1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eastAsia="宋体" w:cs="Arial"/>
                <w:bCs/>
                <w:lang w:val="en-US" w:eastAsia="zh-CN"/>
              </w:rPr>
            </w:pPr>
          </w:p>
          <w:p>
            <w:pPr>
              <w:widowControl w:val="0"/>
              <w:snapToGrid w:val="0"/>
              <w:jc w:val="both"/>
              <w:rPr>
                <w:rFonts w:eastAsia="等线" w:cs="Times"/>
                <w:lang w:eastAsia="zh-CN"/>
              </w:rPr>
            </w:pPr>
            <w:r>
              <w:rPr>
                <w:rFonts w:eastAsia="等线" w:cs="Times"/>
                <w:highlight w:val="green"/>
                <w:lang w:eastAsia="zh-CN"/>
              </w:rPr>
              <w:t>Agreement</w:t>
            </w:r>
          </w:p>
          <w:p>
            <w:pPr>
              <w:widowControl w:val="0"/>
              <w:jc w:val="both"/>
              <w:rPr>
                <w:rFonts w:eastAsia="等线" w:cs="Times"/>
                <w:lang w:eastAsia="zh-CN"/>
              </w:rPr>
            </w:pPr>
            <w:r>
              <w:rPr>
                <w:rFonts w:eastAsia="等线" w:cs="Times"/>
                <w:lang w:eastAsia="zh-CN"/>
              </w:rPr>
              <w:t>n-TimingAdvanceOffset is pre-configured to UE for each candidate cell.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eastAsia="宋体" w:cs="Arial"/>
                <w:bCs/>
                <w:lang w:val="en-US" w:eastAsia="zh-CN"/>
              </w:rPr>
            </w:pPr>
          </w:p>
        </w:tc>
      </w:tr>
    </w:tbl>
    <w:p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eastAsia="宋体" w:cs="Arial"/>
          <w:bCs/>
          <w:lang w:val="en-US" w:eastAsia="zh-CN"/>
        </w:rPr>
      </w:pPr>
    </w:p>
    <w:p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lang w:val="en-US" w:eastAsia="zh-CN"/>
        </w:rPr>
      </w:pPr>
      <w:r>
        <w:rPr>
          <w:rFonts w:hint="eastAsia" w:ascii="Arial" w:hAnsi="Arial" w:cs="Arial"/>
          <w:bCs/>
          <w:lang w:val="en-US" w:eastAsia="zh-CN"/>
        </w:rPr>
        <w:t xml:space="preserve">Corresponding RRC parameter </w:t>
      </w:r>
      <w:r>
        <w:rPr>
          <w:rFonts w:ascii="Arial" w:hAnsi="Arial" w:eastAsia="宋体" w:cs="Arial"/>
          <w:bCs/>
          <w:color w:val="000000"/>
          <w:lang w:val="en-US" w:eastAsia="zh-CN"/>
        </w:rPr>
        <w:t>“</w:t>
      </w:r>
      <w:r>
        <w:rPr>
          <w:rFonts w:ascii="Arial" w:hAnsi="Arial" w:cs="Arial"/>
          <w:bCs/>
        </w:rPr>
        <w:t>n-TimingAdvanceOffset</w:t>
      </w:r>
      <w:r>
        <w:rPr>
          <w:rFonts w:ascii="Arial" w:hAnsi="Arial" w:eastAsia="宋体" w:cs="Arial"/>
          <w:bCs/>
          <w:lang w:val="en-US" w:eastAsia="zh-CN"/>
        </w:rPr>
        <w:t>”</w:t>
      </w:r>
      <w:r>
        <w:rPr>
          <w:rFonts w:hint="eastAsia" w:ascii="Arial" w:hAnsi="Arial" w:cs="Arial"/>
          <w:bCs/>
          <w:lang w:val="en-US" w:eastAsia="zh-CN"/>
        </w:rPr>
        <w:t xml:space="preserve"> has been added under EarlyUlSyncConfig-r18 in RRC parameter list of L1/L2 triggered mobility (LTM) that has been sent to RAN2 in R1-2312715 and reflected in TS 3</w:t>
      </w:r>
      <w:bookmarkStart w:id="3" w:name="_GoBack"/>
      <w:bookmarkEnd w:id="3"/>
      <w:r>
        <w:rPr>
          <w:rFonts w:hint="eastAsia" w:ascii="Arial" w:hAnsi="Arial" w:cs="Arial"/>
          <w:bCs/>
          <w:lang w:val="en-US" w:eastAsia="zh-CN"/>
        </w:rPr>
        <w:t>8.331-i00, as below:</w:t>
      </w:r>
    </w:p>
    <w:p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lang w:val="en-US" w:eastAsia="zh-CN"/>
        </w:rPr>
      </w:pPr>
    </w:p>
    <w:p>
      <w:pPr>
        <w:widowControl w:val="0"/>
        <w:overflowPunct w:val="0"/>
        <w:autoSpaceDE w:val="0"/>
        <w:autoSpaceDN w:val="0"/>
        <w:adjustRightInd w:val="0"/>
        <w:spacing w:after="120" w:afterLines="50"/>
        <w:jc w:val="both"/>
        <w:textAlignment w:val="baseline"/>
        <w:rPr>
          <w:rFonts w:ascii="Arial" w:hAnsi="Arial" w:cs="Arial"/>
          <w:bCs/>
          <w:lang w:val="en-US" w:eastAsia="zh-CN"/>
        </w:rPr>
      </w:pPr>
      <w:r>
        <w:rPr>
          <w:rFonts w:hint="eastAsia" w:ascii="Arial" w:hAnsi="Arial" w:cs="Arial"/>
          <w:bCs/>
          <w:lang w:val="en-US" w:eastAsia="zh-CN"/>
        </w:rPr>
        <w:t>Excerpt from R1-2312715 Collection of updated Rel-18 higher layer parameter list:</w:t>
      </w:r>
    </w:p>
    <w:tbl>
      <w:tblPr>
        <w:tblStyle w:val="23"/>
        <w:tblW w:w="0" w:type="auto"/>
        <w:tblInd w:w="9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579"/>
        <w:gridCol w:w="1162"/>
        <w:gridCol w:w="647"/>
        <w:gridCol w:w="785"/>
        <w:gridCol w:w="1194"/>
        <w:gridCol w:w="1059"/>
        <w:gridCol w:w="619"/>
        <w:gridCol w:w="694"/>
        <w:gridCol w:w="1188"/>
        <w:gridCol w:w="7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vAlign w:val="center"/>
          </w:tcPr>
          <w:p>
            <w:pPr>
              <w:jc w:val="center"/>
              <w:textAlignment w:val="center"/>
              <w:rPr>
                <w:rFonts w:eastAsia="等线"/>
                <w:b/>
                <w:bCs/>
                <w:color w:val="FFFFFF"/>
                <w:sz w:val="10"/>
                <w:szCs w:val="10"/>
              </w:rPr>
            </w:pPr>
            <w:r>
              <w:rPr>
                <w:rFonts w:eastAsia="等线"/>
                <w:b/>
                <w:bCs/>
                <w:color w:val="FFFFFF"/>
                <w:sz w:val="10"/>
                <w:szCs w:val="10"/>
                <w:lang w:val="en-US" w:eastAsia="zh-CN" w:bidi="ar"/>
              </w:rPr>
              <w:t>RAN2 Parent IE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vAlign w:val="center"/>
          </w:tcPr>
          <w:p>
            <w:pPr>
              <w:jc w:val="center"/>
              <w:textAlignment w:val="center"/>
              <w:rPr>
                <w:rFonts w:eastAsia="等线"/>
                <w:b/>
                <w:bCs/>
                <w:color w:val="FFFFFF"/>
                <w:sz w:val="10"/>
                <w:szCs w:val="10"/>
              </w:rPr>
            </w:pPr>
            <w:r>
              <w:rPr>
                <w:rFonts w:eastAsia="等线"/>
                <w:b/>
                <w:bCs/>
                <w:color w:val="FFFFFF"/>
                <w:sz w:val="10"/>
                <w:szCs w:val="10"/>
                <w:lang w:val="en-US" w:eastAsia="zh-CN" w:bidi="ar"/>
              </w:rPr>
              <w:t>RAN2 ASN.1 name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vAlign w:val="center"/>
          </w:tcPr>
          <w:p>
            <w:pPr>
              <w:jc w:val="center"/>
              <w:textAlignment w:val="center"/>
              <w:rPr>
                <w:rFonts w:eastAsia="等线"/>
                <w:b/>
                <w:bCs/>
                <w:color w:val="FFFFFF"/>
                <w:sz w:val="10"/>
                <w:szCs w:val="10"/>
              </w:rPr>
            </w:pPr>
            <w:r>
              <w:rPr>
                <w:rFonts w:eastAsia="等线"/>
                <w:b/>
                <w:bCs/>
                <w:color w:val="FFFFFF"/>
                <w:sz w:val="10"/>
                <w:szCs w:val="10"/>
                <w:lang w:val="en-US" w:eastAsia="zh-CN" w:bidi="ar"/>
              </w:rPr>
              <w:t>Parameter name in the spec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vAlign w:val="center"/>
          </w:tcPr>
          <w:p>
            <w:pPr>
              <w:jc w:val="center"/>
              <w:textAlignment w:val="center"/>
              <w:rPr>
                <w:rFonts w:eastAsia="等线"/>
                <w:b/>
                <w:bCs/>
                <w:color w:val="FFFFFF"/>
                <w:sz w:val="10"/>
                <w:szCs w:val="10"/>
              </w:rPr>
            </w:pPr>
            <w:r>
              <w:rPr>
                <w:rFonts w:eastAsia="等线"/>
                <w:b/>
                <w:bCs/>
                <w:color w:val="FFFFFF"/>
                <w:sz w:val="10"/>
                <w:szCs w:val="10"/>
                <w:lang w:val="en-US" w:eastAsia="zh-CN" w:bidi="ar"/>
              </w:rPr>
              <w:t>New or existing?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vAlign w:val="center"/>
          </w:tcPr>
          <w:p>
            <w:pPr>
              <w:jc w:val="center"/>
              <w:textAlignment w:val="center"/>
              <w:rPr>
                <w:rFonts w:eastAsia="等线"/>
                <w:b/>
                <w:bCs/>
                <w:color w:val="FFFFFF"/>
                <w:sz w:val="10"/>
                <w:szCs w:val="10"/>
              </w:rPr>
            </w:pPr>
            <w:r>
              <w:rPr>
                <w:rFonts w:eastAsia="等线"/>
                <w:b/>
                <w:bCs/>
                <w:color w:val="FFFFFF"/>
                <w:sz w:val="10"/>
                <w:szCs w:val="10"/>
                <w:lang w:val="en-US" w:eastAsia="zh-CN" w:bidi="ar"/>
              </w:rPr>
              <w:t>Parameter name in the text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vAlign w:val="center"/>
          </w:tcPr>
          <w:p>
            <w:pPr>
              <w:jc w:val="center"/>
              <w:textAlignment w:val="center"/>
              <w:rPr>
                <w:rFonts w:eastAsia="等线"/>
                <w:b/>
                <w:bCs/>
                <w:color w:val="FFFFFF"/>
                <w:sz w:val="10"/>
                <w:szCs w:val="10"/>
              </w:rPr>
            </w:pPr>
            <w:r>
              <w:rPr>
                <w:rFonts w:eastAsia="等线"/>
                <w:b/>
                <w:bCs/>
                <w:color w:val="FFFFFF"/>
                <w:sz w:val="10"/>
                <w:szCs w:val="10"/>
                <w:lang w:val="en-US" w:eastAsia="zh-CN" w:bidi="ar"/>
              </w:rPr>
              <w:t>Description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vAlign w:val="center"/>
          </w:tcPr>
          <w:p>
            <w:pPr>
              <w:jc w:val="center"/>
              <w:textAlignment w:val="center"/>
              <w:rPr>
                <w:rFonts w:eastAsia="等线"/>
                <w:b/>
                <w:bCs/>
                <w:color w:val="FFFFFF"/>
                <w:sz w:val="10"/>
                <w:szCs w:val="10"/>
              </w:rPr>
            </w:pPr>
            <w:r>
              <w:rPr>
                <w:rFonts w:eastAsia="等线"/>
                <w:b/>
                <w:bCs/>
                <w:color w:val="FFFFFF"/>
                <w:sz w:val="10"/>
                <w:szCs w:val="10"/>
                <w:lang w:val="en-US" w:eastAsia="zh-CN" w:bidi="ar"/>
              </w:rPr>
              <w:t>Value range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vAlign w:val="center"/>
          </w:tcPr>
          <w:p>
            <w:pPr>
              <w:jc w:val="center"/>
              <w:textAlignment w:val="center"/>
              <w:rPr>
                <w:rFonts w:eastAsia="等线"/>
                <w:b/>
                <w:bCs/>
                <w:color w:val="FFFFFF"/>
                <w:sz w:val="10"/>
                <w:szCs w:val="10"/>
              </w:rPr>
            </w:pPr>
            <w:r>
              <w:rPr>
                <w:rFonts w:eastAsia="等线"/>
                <w:b/>
                <w:bCs/>
                <w:color w:val="FFFFFF"/>
                <w:sz w:val="10"/>
                <w:szCs w:val="10"/>
                <w:lang w:val="en-US" w:eastAsia="zh-CN" w:bidi="ar"/>
              </w:rPr>
              <w:t>Default value aspect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vAlign w:val="center"/>
          </w:tcPr>
          <w:p>
            <w:pPr>
              <w:jc w:val="center"/>
              <w:textAlignment w:val="center"/>
              <w:rPr>
                <w:rFonts w:eastAsia="等线"/>
                <w:b/>
                <w:bCs/>
                <w:color w:val="FFFFFF"/>
                <w:sz w:val="10"/>
                <w:szCs w:val="10"/>
              </w:rPr>
            </w:pPr>
            <w:r>
              <w:rPr>
                <w:rFonts w:eastAsia="等线"/>
                <w:b/>
                <w:bCs/>
                <w:color w:val="FFFFFF"/>
                <w:sz w:val="10"/>
                <w:szCs w:val="10"/>
                <w:lang w:val="en-US" w:eastAsia="zh-CN" w:bidi="ar"/>
              </w:rPr>
              <w:t>Per (UE, cell, TRP, …)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vAlign w:val="center"/>
          </w:tcPr>
          <w:p>
            <w:pPr>
              <w:jc w:val="center"/>
              <w:textAlignment w:val="center"/>
              <w:rPr>
                <w:rFonts w:eastAsia="等线"/>
                <w:b/>
                <w:bCs/>
                <w:color w:val="FFFFFF"/>
                <w:sz w:val="10"/>
                <w:szCs w:val="10"/>
              </w:rPr>
            </w:pPr>
            <w:r>
              <w:rPr>
                <w:rFonts w:eastAsia="等线"/>
                <w:b/>
                <w:bCs/>
                <w:color w:val="FFFFFF"/>
                <w:sz w:val="10"/>
                <w:szCs w:val="10"/>
                <w:lang w:val="en-US" w:eastAsia="zh-CN" w:bidi="ar"/>
              </w:rPr>
              <w:t>Required for initial access or IDLE/INACTIVE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vAlign w:val="center"/>
          </w:tcPr>
          <w:p>
            <w:pPr>
              <w:jc w:val="center"/>
              <w:textAlignment w:val="center"/>
              <w:rPr>
                <w:rFonts w:eastAsia="等线"/>
                <w:b/>
                <w:bCs/>
                <w:color w:val="FFFFFF"/>
                <w:sz w:val="10"/>
                <w:szCs w:val="10"/>
              </w:rPr>
            </w:pPr>
            <w:r>
              <w:rPr>
                <w:rFonts w:eastAsia="等线"/>
                <w:b/>
                <w:bCs/>
                <w:color w:val="FFFFFF"/>
                <w:sz w:val="10"/>
                <w:szCs w:val="10"/>
                <w:lang w:val="en-US" w:eastAsia="zh-CN" w:bidi="ar"/>
              </w:rPr>
              <w:t>Specification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eastAsia="等线"/>
                <w:sz w:val="10"/>
                <w:szCs w:val="10"/>
                <w:lang w:val="en-US" w:eastAsia="zh-CN" w:bidi="ar"/>
              </w:rPr>
            </w:pPr>
            <w:r>
              <w:rPr>
                <w:rFonts w:eastAsia="等线"/>
                <w:sz w:val="10"/>
                <w:szCs w:val="10"/>
                <w:lang w:val="en-US" w:eastAsia="zh-CN" w:bidi="ar"/>
              </w:rPr>
              <w:t>EarlyUlSyncConfig-r18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eastAsia="等线"/>
                <w:sz w:val="10"/>
                <w:szCs w:val="1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eastAsia="等线"/>
                <w:sz w:val="10"/>
                <w:szCs w:val="10"/>
                <w:lang w:val="en-US" w:eastAsia="zh-CN" w:bidi="ar"/>
              </w:rPr>
            </w:pPr>
            <w:r>
              <w:rPr>
                <w:rFonts w:eastAsia="等线"/>
                <w:sz w:val="10"/>
                <w:szCs w:val="10"/>
                <w:lang w:val="en-US" w:eastAsia="zh-CN" w:bidi="ar"/>
              </w:rPr>
              <w:t>n-TimingAdvanceOffset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eastAsia="等线"/>
                <w:sz w:val="10"/>
                <w:szCs w:val="1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eastAsia="等线"/>
                <w:sz w:val="10"/>
                <w:szCs w:val="1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eastAsia="等线"/>
                <w:sz w:val="10"/>
                <w:szCs w:val="10"/>
                <w:lang w:val="en-US" w:eastAsia="zh-CN" w:bidi="ar"/>
              </w:rPr>
            </w:pPr>
            <w:r>
              <w:rPr>
                <w:rFonts w:eastAsia="等线"/>
                <w:sz w:val="10"/>
                <w:szCs w:val="10"/>
                <w:lang w:val="en-US" w:eastAsia="zh-CN" w:bidi="ar"/>
              </w:rPr>
              <w:t>The N_TA-Offset to be applied for all uplink transmissions on this candidate cell.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eastAsia="等线"/>
                <w:sz w:val="10"/>
                <w:szCs w:val="10"/>
                <w:lang w:val="en-US" w:eastAsia="zh-CN" w:bidi="ar"/>
              </w:rPr>
            </w:pPr>
            <w:r>
              <w:rPr>
                <w:rFonts w:eastAsia="等线"/>
                <w:sz w:val="10"/>
                <w:szCs w:val="10"/>
                <w:lang w:val="en-US" w:eastAsia="zh-CN" w:bidi="ar"/>
              </w:rPr>
              <w:t>ENUMERATED { n0, n25600, n39936 }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eastAsia="等线"/>
                <w:sz w:val="10"/>
                <w:szCs w:val="1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eastAsia="等线"/>
                <w:sz w:val="10"/>
                <w:szCs w:val="10"/>
                <w:lang w:val="en-US" w:eastAsia="zh-CN" w:bidi="ar"/>
              </w:rPr>
            </w:pPr>
            <w:r>
              <w:rPr>
                <w:rFonts w:eastAsia="等线"/>
                <w:sz w:val="10"/>
                <w:szCs w:val="10"/>
                <w:lang w:val="en-US" w:eastAsia="zh-CN" w:bidi="ar"/>
              </w:rPr>
              <w:t>UE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eastAsia="等线"/>
                <w:sz w:val="10"/>
                <w:szCs w:val="10"/>
                <w:lang w:val="en-US" w:eastAsia="zh-CN" w:bidi="ar"/>
              </w:rPr>
            </w:pPr>
            <w:r>
              <w:rPr>
                <w:rFonts w:eastAsia="等线"/>
                <w:sz w:val="10"/>
                <w:szCs w:val="10"/>
                <w:lang w:val="en-US" w:eastAsia="zh-CN" w:bidi="ar"/>
              </w:rPr>
              <w:t>UE-specific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eastAsia="等线"/>
                <w:sz w:val="10"/>
                <w:szCs w:val="10"/>
                <w:lang w:val="en-US" w:eastAsia="zh-CN" w:bidi="ar"/>
              </w:rPr>
            </w:pPr>
            <w:r>
              <w:rPr>
                <w:rFonts w:eastAsia="等线"/>
                <w:sz w:val="10"/>
                <w:szCs w:val="10"/>
                <w:lang w:val="en-US" w:eastAsia="zh-CN" w:bidi="ar"/>
              </w:rPr>
              <w:t>38.331</w:t>
            </w:r>
          </w:p>
        </w:tc>
      </w:tr>
    </w:tbl>
    <w:p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lang w:val="en-US" w:eastAsia="zh-CN"/>
        </w:rPr>
      </w:pPr>
    </w:p>
    <w:p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lang w:val="en-US" w:eastAsia="zh-CN"/>
        </w:rPr>
      </w:pPr>
      <w:r>
        <w:rPr>
          <w:rFonts w:hint="eastAsia" w:ascii="Arial" w:hAnsi="Arial" w:cs="Arial"/>
          <w:bCs/>
          <w:lang w:val="en-US" w:eastAsia="zh-CN"/>
        </w:rPr>
        <w:t>TS 38.331-i00</w:t>
      </w:r>
    </w:p>
    <w:p>
      <w:pPr>
        <w:pStyle w:val="55"/>
      </w:pPr>
      <w:bookmarkStart w:id="1" w:name="_Hlk145429868"/>
      <w:bookmarkStart w:id="2" w:name="_Hlk145429914"/>
      <w:r>
        <w:t xml:space="preserve">EarlyUL-SyncConfig-r18 </w:t>
      </w:r>
      <w:bookmarkEnd w:id="1"/>
      <w:r>
        <w:t xml:space="preserve">::=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55"/>
      </w:pPr>
      <w:r>
        <w:t xml:space="preserve">    frequencyInfoUL-r18                  FrequencyInfoUL,</w:t>
      </w:r>
    </w:p>
    <w:p>
      <w:pPr>
        <w:pStyle w:val="55"/>
      </w:pPr>
      <w:r>
        <w:t xml:space="preserve">    rach-ConfigGeneric-r18               RACH-ConfigGeneric,</w:t>
      </w:r>
    </w:p>
    <w:p>
      <w:pPr>
        <w:pStyle w:val="55"/>
      </w:pPr>
      <w:r>
        <w:t xml:space="preserve">    bwp-GenericParameters-r18            BWP,</w:t>
      </w:r>
    </w:p>
    <w:p>
      <w:pPr>
        <w:pStyle w:val="55"/>
        <w:rPr>
          <w:color w:val="808080"/>
        </w:rPr>
      </w:pPr>
      <w:r>
        <w:t xml:space="preserve">    ssb-PerRACH-Occasion-r18             </w:t>
      </w:r>
      <w:r>
        <w:rPr>
          <w:color w:val="993366"/>
        </w:rPr>
        <w:t>ENUMERATED</w:t>
      </w:r>
      <w:r>
        <w:t xml:space="preserve"> {oneEighth, oneFourth, oneHalf, one, two, four, eight, sixteen}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>
      <w:pPr>
        <w:pStyle w:val="55"/>
      </w:pPr>
      <w:r>
        <w:t xml:space="preserve">    prach-RootSequenceIndex-r18          </w:t>
      </w:r>
      <w:r>
        <w:rPr>
          <w:color w:val="993366"/>
        </w:rPr>
        <w:t>CHOICE</w:t>
      </w:r>
      <w:r>
        <w:t xml:space="preserve"> {</w:t>
      </w:r>
    </w:p>
    <w:p>
      <w:pPr>
        <w:pStyle w:val="55"/>
      </w:pPr>
      <w:r>
        <w:t xml:space="preserve">        l839                                 </w:t>
      </w:r>
      <w:r>
        <w:rPr>
          <w:color w:val="993366"/>
        </w:rPr>
        <w:t>INTEGER</w:t>
      </w:r>
      <w:r>
        <w:t xml:space="preserve"> (0..837),</w:t>
      </w:r>
    </w:p>
    <w:p>
      <w:pPr>
        <w:pStyle w:val="55"/>
      </w:pPr>
      <w:r>
        <w:t xml:space="preserve">        l139                                 </w:t>
      </w:r>
      <w:r>
        <w:rPr>
          <w:color w:val="993366"/>
        </w:rPr>
        <w:t>INTEGER</w:t>
      </w:r>
      <w:r>
        <w:t xml:space="preserve"> (0..137)</w:t>
      </w:r>
    </w:p>
    <w:p>
      <w:pPr>
        <w:pStyle w:val="55"/>
      </w:pPr>
      <w:r>
        <w:t xml:space="preserve">    },</w:t>
      </w:r>
    </w:p>
    <w:p>
      <w:pPr>
        <w:pStyle w:val="55"/>
      </w:pPr>
      <w:r>
        <w:t xml:space="preserve">    ltm-prach-SubcarrierSpacing-r18      SubcarrierSpacing,</w:t>
      </w:r>
    </w:p>
    <w:p>
      <w:pPr>
        <w:pStyle w:val="55"/>
        <w:rPr>
          <w:color w:val="808080"/>
        </w:rPr>
      </w:pPr>
      <w:r>
        <w:t xml:space="preserve">    </w:t>
      </w:r>
      <w:r>
        <w:rPr>
          <w:highlight w:val="yellow"/>
        </w:rPr>
        <w:t xml:space="preserve">n-TimingAdvanceOffset-r18            </w:t>
      </w:r>
      <w:r>
        <w:rPr>
          <w:color w:val="993366"/>
          <w:highlight w:val="yellow"/>
        </w:rPr>
        <w:t>ENUMERATED</w:t>
      </w:r>
      <w:r>
        <w:rPr>
          <w:highlight w:val="yellow"/>
        </w:rPr>
        <w:t xml:space="preserve"> { n0, n25600, n39936 }</w:t>
      </w:r>
      <w:r>
        <w:t xml:space="preserve">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>
      <w:pPr>
        <w:pStyle w:val="55"/>
      </w:pPr>
      <w:r>
        <w:t xml:space="preserve">    ...</w:t>
      </w:r>
    </w:p>
    <w:p>
      <w:pPr>
        <w:pStyle w:val="55"/>
      </w:pPr>
      <w:r>
        <w:t>}</w:t>
      </w:r>
    </w:p>
    <w:bookmarkEnd w:id="2"/>
    <w:p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eastAsia="宋体" w:cs="Arial"/>
          <w:bCs/>
          <w:lang w:val="en-US" w:eastAsia="zh-CN"/>
        </w:rPr>
      </w:pPr>
    </w:p>
    <w:p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lang w:eastAsia="ja-JP"/>
        </w:rPr>
      </w:pPr>
    </w:p>
    <w:p>
      <w:pPr>
        <w:snapToGrid w:val="0"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napToGrid w:val="0"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RAN4</w:t>
      </w:r>
    </w:p>
    <w:p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lang w:eastAsia="ja-JP"/>
        </w:rPr>
      </w:pPr>
    </w:p>
    <w:p>
      <w:pPr>
        <w:spacing w:after="120" w:line="259" w:lineRule="auto"/>
        <w:ind w:left="993" w:hanging="993"/>
        <w:rPr>
          <w:rFonts w:ascii="Arial" w:hAnsi="Arial" w:cs="Arial" w:eastAsiaTheme="minorHAnsi"/>
          <w:lang w:val="en-US"/>
        </w:rPr>
      </w:pPr>
      <w:r>
        <w:rPr>
          <w:rFonts w:ascii="Arial" w:hAnsi="Arial" w:cs="Arial" w:eastAsiaTheme="minorHAnsi"/>
          <w:b/>
          <w:lang w:val="en-US"/>
        </w:rPr>
        <w:t xml:space="preserve">ACTION: </w:t>
      </w:r>
      <w:r>
        <w:rPr>
          <w:rFonts w:ascii="Arial" w:hAnsi="Arial" w:cs="Arial" w:eastAsiaTheme="minorHAnsi"/>
          <w:b/>
          <w:lang w:val="en-US"/>
        </w:rPr>
        <w:tab/>
      </w:r>
      <w:r>
        <w:rPr>
          <w:rFonts w:ascii="Arial" w:hAnsi="Arial" w:cs="Arial" w:eastAsiaTheme="minorHAnsi"/>
          <w:lang w:val="en-US"/>
        </w:rPr>
        <w:t xml:space="preserve">RAN1 kindly </w:t>
      </w:r>
      <w:r>
        <w:rPr>
          <w:rFonts w:hint="eastAsia" w:ascii="Arial" w:hAnsi="Arial" w:eastAsia="宋体" w:cs="Arial"/>
          <w:lang w:val="en-US" w:eastAsia="zh-CN"/>
        </w:rPr>
        <w:t>ask</w:t>
      </w:r>
      <w:r>
        <w:rPr>
          <w:rFonts w:ascii="Arial" w:hAnsi="Arial" w:cs="Arial" w:eastAsiaTheme="minorHAnsi"/>
          <w:lang w:val="en-US"/>
        </w:rPr>
        <w:t xml:space="preserve"> RAN</w:t>
      </w:r>
      <w:r>
        <w:rPr>
          <w:rFonts w:hint="eastAsia" w:ascii="Arial" w:hAnsi="Arial" w:eastAsia="宋体" w:cs="Arial"/>
          <w:lang w:val="en-US" w:eastAsia="zh-CN"/>
        </w:rPr>
        <w:t>4</w:t>
      </w:r>
      <w:r>
        <w:rPr>
          <w:rFonts w:ascii="Arial" w:hAnsi="Arial" w:cs="Arial" w:eastAsiaTheme="minorHAnsi"/>
          <w:lang w:val="en-US"/>
        </w:rPr>
        <w:t xml:space="preserve"> to </w:t>
      </w:r>
      <w:r>
        <w:rPr>
          <w:rFonts w:ascii="Arial" w:hAnsi="Arial" w:eastAsia="Malgun Gothic" w:cstheme="minorBidi"/>
          <w:iCs/>
          <w:lang w:val="en-US"/>
        </w:rPr>
        <w:t>take the above information into account</w:t>
      </w:r>
      <w:r>
        <w:rPr>
          <w:rFonts w:ascii="Arial" w:hAnsi="Arial" w:cs="Arial" w:eastAsiaTheme="minorHAnsi"/>
          <w:lang w:val="en-US"/>
        </w:rPr>
        <w:t>.</w:t>
      </w:r>
    </w:p>
    <w:p>
      <w:pPr>
        <w:spacing w:after="320" w:line="259" w:lineRule="auto"/>
        <w:jc w:val="both"/>
        <w:rPr>
          <w:rFonts w:ascii="Arial" w:hAnsi="Arial" w:cs="Arial" w:eastAsiaTheme="minorHAnsi"/>
          <w:b/>
          <w:lang w:val="en-US"/>
        </w:rPr>
      </w:pPr>
      <w:r>
        <w:rPr>
          <w:rFonts w:ascii="Arial" w:hAnsi="Arial" w:cs="Arial" w:eastAsiaTheme="minorHAnsi"/>
          <w:b/>
          <w:lang w:val="en-US"/>
        </w:rPr>
        <w:br w:type="textWrapping"/>
      </w:r>
      <w:r>
        <w:rPr>
          <w:rFonts w:ascii="Arial" w:hAnsi="Arial" w:cs="Arial" w:eastAsiaTheme="minorHAnsi"/>
          <w:b/>
          <w:lang w:val="en-US"/>
        </w:rPr>
        <w:t>3. Date of Next TSG-RAN</w:t>
      </w:r>
      <w:r>
        <w:rPr>
          <w:rFonts w:ascii="Arial" w:hAnsi="Arial" w:cs="Arial" w:eastAsiaTheme="minorHAnsi"/>
          <w:b/>
          <w:lang w:val="en-US" w:eastAsia="zh-CN"/>
        </w:rPr>
        <w:t>1</w:t>
      </w:r>
      <w:r>
        <w:rPr>
          <w:rFonts w:ascii="Arial" w:hAnsi="Arial" w:cs="Arial" w:eastAsiaTheme="minorHAnsi"/>
          <w:b/>
          <w:lang w:val="en-US"/>
        </w:rPr>
        <w:t xml:space="preserve"> Meetings:</w:t>
      </w:r>
      <w:r>
        <w:rPr>
          <w:rFonts w:ascii="Arial" w:hAnsi="Arial" w:cs="Arial" w:eastAsiaTheme="minorHAnsi"/>
          <w:bCs/>
          <w:lang w:val="en-US"/>
        </w:rPr>
        <w:tab/>
      </w:r>
    </w:p>
    <w:p>
      <w:pPr>
        <w:tabs>
          <w:tab w:val="left" w:pos="4536"/>
        </w:tabs>
        <w:spacing w:after="120" w:line="259" w:lineRule="auto"/>
        <w:rPr>
          <w:rFonts w:ascii="Arial" w:hAnsi="Arial" w:cs="Arial" w:eastAsiaTheme="minorHAnsi"/>
          <w:bCs/>
          <w:lang w:val="en-US"/>
        </w:rPr>
      </w:pPr>
      <w:r>
        <w:rPr>
          <w:rFonts w:ascii="Arial" w:hAnsi="Arial" w:cs="Arial" w:eastAsiaTheme="minorHAnsi"/>
          <w:bCs/>
          <w:lang w:val="en-US"/>
        </w:rPr>
        <w:t>3GPP TSG RAN WG1#116-bis</w:t>
      </w:r>
      <w:r>
        <w:rPr>
          <w:rFonts w:ascii="Arial" w:hAnsi="Arial" w:cs="Arial" w:eastAsiaTheme="minorHAnsi"/>
          <w:bCs/>
          <w:lang w:val="en-US"/>
        </w:rPr>
        <w:tab/>
      </w:r>
      <w:r>
        <w:rPr>
          <w:rFonts w:ascii="Arial" w:hAnsi="Arial" w:cs="Arial" w:eastAsiaTheme="minorHAnsi"/>
          <w:bCs/>
          <w:lang w:val="en-US"/>
        </w:rPr>
        <w:t>1</w:t>
      </w:r>
      <w:r>
        <w:rPr>
          <w:rFonts w:hint="eastAsia" w:ascii="Arial" w:hAnsi="Arial" w:eastAsia="宋体" w:cs="Arial"/>
          <w:bCs/>
          <w:lang w:val="en-US" w:eastAsia="zh-CN"/>
        </w:rPr>
        <w:t>5</w:t>
      </w:r>
      <w:r>
        <w:rPr>
          <w:rFonts w:ascii="Arial" w:hAnsi="Arial" w:cs="Arial" w:eastAsiaTheme="minorHAnsi"/>
          <w:bCs/>
          <w:lang w:val="en-US"/>
        </w:rPr>
        <w:t xml:space="preserve"> – 19 April 202</w:t>
      </w:r>
      <w:r>
        <w:rPr>
          <w:rFonts w:hint="eastAsia" w:ascii="Arial" w:hAnsi="Arial" w:eastAsia="宋体" w:cs="Arial"/>
          <w:bCs/>
          <w:lang w:val="en-US" w:eastAsia="zh-CN"/>
        </w:rPr>
        <w:t>4</w:t>
      </w:r>
      <w:r>
        <w:rPr>
          <w:rFonts w:ascii="Arial" w:hAnsi="Arial" w:cs="Arial" w:eastAsiaTheme="minorHAnsi"/>
          <w:bCs/>
          <w:lang w:val="en-US"/>
        </w:rPr>
        <w:t xml:space="preserve"> </w:t>
      </w:r>
      <w:r>
        <w:rPr>
          <w:rFonts w:ascii="Arial" w:hAnsi="Arial" w:cs="Arial" w:eastAsiaTheme="minorHAnsi"/>
          <w:bCs/>
          <w:lang w:val="en-US"/>
        </w:rPr>
        <w:tab/>
      </w:r>
      <w:r>
        <w:rPr>
          <w:rFonts w:ascii="Arial" w:hAnsi="Arial" w:cs="Arial" w:eastAsiaTheme="minorHAnsi"/>
          <w:bCs/>
          <w:lang w:val="en-US"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 xml:space="preserve">Changsha, </w:t>
      </w:r>
      <w:r>
        <w:rPr>
          <w:rFonts w:ascii="Arial" w:hAnsi="Arial" w:cs="Arial" w:eastAsiaTheme="minorHAnsi"/>
          <w:bCs/>
          <w:lang w:val="en-US"/>
        </w:rPr>
        <w:t>China</w:t>
      </w:r>
    </w:p>
    <w:p>
      <w:pPr>
        <w:tabs>
          <w:tab w:val="left" w:pos="4536"/>
        </w:tabs>
        <w:spacing w:after="120" w:line="259" w:lineRule="auto"/>
        <w:rPr>
          <w:rFonts w:ascii="Arial" w:hAnsi="Arial" w:cs="Arial" w:eastAsiaTheme="minorHAnsi"/>
          <w:bCs/>
          <w:lang w:val="en-US"/>
        </w:rPr>
      </w:pPr>
      <w:r>
        <w:rPr>
          <w:rFonts w:ascii="Arial" w:hAnsi="Arial" w:cs="Arial" w:eastAsiaTheme="minorHAnsi"/>
          <w:bCs/>
          <w:lang w:val="en-US"/>
        </w:rPr>
        <w:t>3GPP TSG RAN WG1#11</w:t>
      </w:r>
      <w:r>
        <w:rPr>
          <w:rFonts w:hint="eastAsia" w:ascii="Arial" w:hAnsi="Arial" w:eastAsia="宋体" w:cs="Arial"/>
          <w:bCs/>
          <w:lang w:val="en-US" w:eastAsia="zh-CN"/>
        </w:rPr>
        <w:t>7</w:t>
      </w:r>
      <w:r>
        <w:rPr>
          <w:rFonts w:ascii="Arial" w:hAnsi="Arial" w:cs="Arial" w:eastAsiaTheme="minorHAnsi"/>
          <w:bCs/>
          <w:lang w:val="en-US"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20</w:t>
      </w:r>
      <w:r>
        <w:rPr>
          <w:rFonts w:ascii="Arial" w:hAnsi="Arial" w:cs="Arial" w:eastAsiaTheme="minorHAnsi"/>
          <w:bCs/>
          <w:lang w:val="en-US"/>
        </w:rPr>
        <w:t xml:space="preserve"> – </w:t>
      </w:r>
      <w:r>
        <w:rPr>
          <w:rFonts w:hint="eastAsia" w:ascii="Arial" w:hAnsi="Arial" w:eastAsia="宋体" w:cs="Arial"/>
          <w:bCs/>
          <w:lang w:val="en-US" w:eastAsia="zh-CN"/>
        </w:rPr>
        <w:t>24</w:t>
      </w:r>
      <w:r>
        <w:rPr>
          <w:rFonts w:ascii="Arial" w:hAnsi="Arial" w:cs="Arial" w:eastAsiaTheme="minorHAnsi"/>
          <w:bCs/>
          <w:lang w:val="en-US"/>
        </w:rPr>
        <w:t xml:space="preserve"> </w:t>
      </w:r>
      <w:r>
        <w:rPr>
          <w:rFonts w:hint="eastAsia" w:ascii="Arial" w:hAnsi="Arial" w:eastAsia="宋体" w:cs="Arial"/>
          <w:bCs/>
          <w:lang w:val="en-US" w:eastAsia="zh-CN"/>
        </w:rPr>
        <w:t>May</w:t>
      </w:r>
      <w:r>
        <w:rPr>
          <w:rFonts w:ascii="Arial" w:hAnsi="Arial" w:cs="Arial" w:eastAsiaTheme="minorHAnsi"/>
          <w:bCs/>
          <w:lang w:val="en-US"/>
        </w:rPr>
        <w:t xml:space="preserve"> 202</w:t>
      </w:r>
      <w:r>
        <w:rPr>
          <w:rFonts w:hint="eastAsia" w:ascii="Arial" w:hAnsi="Arial" w:eastAsia="宋体" w:cs="Arial"/>
          <w:bCs/>
          <w:lang w:val="en-US" w:eastAsia="zh-CN"/>
        </w:rPr>
        <w:t>4                    Fukuoka, Japan</w:t>
      </w:r>
    </w:p>
    <w:p>
      <w:pPr>
        <w:pStyle w:val="20"/>
        <w:jc w:val="both"/>
        <w:rPr>
          <w:rFonts w:ascii="Arial" w:hAnsi="Arial" w:cs="Arial"/>
        </w:rPr>
      </w:pPr>
    </w:p>
    <w:p>
      <w:pPr>
        <w:pStyle w:val="20"/>
        <w:jc w:val="both"/>
        <w:rPr>
          <w:rFonts w:ascii="Arial" w:hAnsi="Arial" w:cs="Arial"/>
        </w:rPr>
      </w:pPr>
    </w:p>
    <w:p>
      <w:pPr>
        <w:pStyle w:val="15"/>
        <w:rPr>
          <w:color w:val="auto"/>
        </w:rPr>
      </w:pPr>
    </w:p>
    <w:p>
      <w:pPr>
        <w:pStyle w:val="20"/>
        <w:jc w:val="both"/>
        <w:rPr>
          <w:rFonts w:ascii="Arial" w:hAnsi="Arial" w:cs="Arial"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7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33EA44FF"/>
    <w:multiLevelType w:val="multilevel"/>
    <w:tmpl w:val="33EA44FF"/>
    <w:lvl w:ilvl="0" w:tentative="0">
      <w:start w:val="1"/>
      <w:numFmt w:val="decimal"/>
      <w:pStyle w:val="11"/>
      <w:lvlText w:val="%1."/>
      <w:lvlJc w:val="left"/>
      <w:pPr>
        <w:ind w:left="1004" w:hanging="360"/>
      </w:pPr>
    </w:lvl>
    <w:lvl w:ilvl="1" w:tentative="0">
      <w:start w:val="1"/>
      <w:numFmt w:val="lowerLetter"/>
      <w:lvlText w:val="%2."/>
      <w:lvlJc w:val="left"/>
      <w:pPr>
        <w:ind w:left="1724" w:hanging="360"/>
      </w:pPr>
    </w:lvl>
    <w:lvl w:ilvl="2" w:tentative="0">
      <w:start w:val="1"/>
      <w:numFmt w:val="lowerRoman"/>
      <w:lvlText w:val="%3."/>
      <w:lvlJc w:val="right"/>
      <w:pPr>
        <w:ind w:left="2444" w:hanging="180"/>
      </w:pPr>
    </w:lvl>
    <w:lvl w:ilvl="3" w:tentative="0">
      <w:start w:val="1"/>
      <w:numFmt w:val="decimal"/>
      <w:lvlText w:val="%4."/>
      <w:lvlJc w:val="left"/>
      <w:pPr>
        <w:ind w:left="3164" w:hanging="360"/>
      </w:pPr>
    </w:lvl>
    <w:lvl w:ilvl="4" w:tentative="0">
      <w:start w:val="1"/>
      <w:numFmt w:val="lowerLetter"/>
      <w:lvlText w:val="%5."/>
      <w:lvlJc w:val="left"/>
      <w:pPr>
        <w:ind w:left="3884" w:hanging="360"/>
      </w:pPr>
    </w:lvl>
    <w:lvl w:ilvl="5" w:tentative="0">
      <w:start w:val="1"/>
      <w:numFmt w:val="lowerRoman"/>
      <w:lvlText w:val="%6."/>
      <w:lvlJc w:val="right"/>
      <w:pPr>
        <w:ind w:left="4604" w:hanging="180"/>
      </w:pPr>
    </w:lvl>
    <w:lvl w:ilvl="6" w:tentative="0">
      <w:start w:val="1"/>
      <w:numFmt w:val="decimal"/>
      <w:lvlText w:val="%7."/>
      <w:lvlJc w:val="left"/>
      <w:pPr>
        <w:ind w:left="5324" w:hanging="360"/>
      </w:pPr>
    </w:lvl>
    <w:lvl w:ilvl="7" w:tentative="0">
      <w:start w:val="1"/>
      <w:numFmt w:val="lowerLetter"/>
      <w:lvlText w:val="%8."/>
      <w:lvlJc w:val="left"/>
      <w:pPr>
        <w:ind w:left="6044" w:hanging="360"/>
      </w:pPr>
    </w:lvl>
    <w:lvl w:ilvl="8" w:tentative="0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41CA2C26"/>
    <w:multiLevelType w:val="singleLevel"/>
    <w:tmpl w:val="41CA2C26"/>
    <w:lvl w:ilvl="0" w:tentative="0">
      <w:start w:val="1"/>
      <w:numFmt w:val="bullet"/>
      <w:pStyle w:val="35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36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5BDE1D10"/>
    <w:multiLevelType w:val="multilevel"/>
    <w:tmpl w:val="5BDE1D10"/>
    <w:lvl w:ilvl="0" w:tentative="0">
      <w:start w:val="1"/>
      <w:numFmt w:val="bullet"/>
      <w:pStyle w:val="13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>
    <w:nsid w:val="63690C9E"/>
    <w:multiLevelType w:val="singleLevel"/>
    <w:tmpl w:val="63690C9E"/>
    <w:lvl w:ilvl="0" w:tentative="0">
      <w:start w:val="1"/>
      <w:numFmt w:val="bullet"/>
      <w:pStyle w:val="34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6">
    <w:nsid w:val="70146DC0"/>
    <w:multiLevelType w:val="multilevel"/>
    <w:tmpl w:val="70146DC0"/>
    <w:lvl w:ilvl="0" w:tentative="0">
      <w:start w:val="1"/>
      <w:numFmt w:val="bullet"/>
      <w:pStyle w:val="4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  <w:lang w:val="en-GB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removePersonalInformation/>
  <w:doNotDisplayPageBoundaries w:val="1"/>
  <w:trackRevisions w:val="1"/>
  <w:documentProtection w:enforcement="0"/>
  <w:defaultTabStop w:val="720"/>
  <w:hyphenationZone w:val="425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178"/>
    <w:rsid w:val="000377D9"/>
    <w:rsid w:val="00081B22"/>
    <w:rsid w:val="00095EF8"/>
    <w:rsid w:val="000D421D"/>
    <w:rsid w:val="000F4E43"/>
    <w:rsid w:val="00116CA6"/>
    <w:rsid w:val="0012547A"/>
    <w:rsid w:val="00127902"/>
    <w:rsid w:val="001678EA"/>
    <w:rsid w:val="001844BB"/>
    <w:rsid w:val="00191CCE"/>
    <w:rsid w:val="001A1A18"/>
    <w:rsid w:val="001C4470"/>
    <w:rsid w:val="001C4B73"/>
    <w:rsid w:val="001C5420"/>
    <w:rsid w:val="00203C3A"/>
    <w:rsid w:val="00207C81"/>
    <w:rsid w:val="002120E2"/>
    <w:rsid w:val="00223630"/>
    <w:rsid w:val="0025231D"/>
    <w:rsid w:val="0029476A"/>
    <w:rsid w:val="002E2BFE"/>
    <w:rsid w:val="002F265E"/>
    <w:rsid w:val="002F5DF8"/>
    <w:rsid w:val="003201AB"/>
    <w:rsid w:val="0032788D"/>
    <w:rsid w:val="00341030"/>
    <w:rsid w:val="003410E7"/>
    <w:rsid w:val="00355BA6"/>
    <w:rsid w:val="003761B2"/>
    <w:rsid w:val="003A5B42"/>
    <w:rsid w:val="003A6CE6"/>
    <w:rsid w:val="003D1F8F"/>
    <w:rsid w:val="003E2CA2"/>
    <w:rsid w:val="003E6E99"/>
    <w:rsid w:val="003F0929"/>
    <w:rsid w:val="003F1AD1"/>
    <w:rsid w:val="0040642A"/>
    <w:rsid w:val="00442332"/>
    <w:rsid w:val="00454CD0"/>
    <w:rsid w:val="00455769"/>
    <w:rsid w:val="004560FA"/>
    <w:rsid w:val="00463675"/>
    <w:rsid w:val="00492C84"/>
    <w:rsid w:val="004C571E"/>
    <w:rsid w:val="004C5F2A"/>
    <w:rsid w:val="004C7D9D"/>
    <w:rsid w:val="004E4DDB"/>
    <w:rsid w:val="004F63CE"/>
    <w:rsid w:val="0050583E"/>
    <w:rsid w:val="00546CE7"/>
    <w:rsid w:val="00552480"/>
    <w:rsid w:val="005559FD"/>
    <w:rsid w:val="00557884"/>
    <w:rsid w:val="00584B08"/>
    <w:rsid w:val="0059136F"/>
    <w:rsid w:val="005F73C3"/>
    <w:rsid w:val="006000FC"/>
    <w:rsid w:val="00600A3F"/>
    <w:rsid w:val="006611A6"/>
    <w:rsid w:val="006722BE"/>
    <w:rsid w:val="00697CD2"/>
    <w:rsid w:val="006A7F18"/>
    <w:rsid w:val="006B122C"/>
    <w:rsid w:val="006B54A6"/>
    <w:rsid w:val="006E29C2"/>
    <w:rsid w:val="006E791A"/>
    <w:rsid w:val="006F74DC"/>
    <w:rsid w:val="00712513"/>
    <w:rsid w:val="00726FC3"/>
    <w:rsid w:val="0075040B"/>
    <w:rsid w:val="00761B5C"/>
    <w:rsid w:val="00762CAD"/>
    <w:rsid w:val="00790678"/>
    <w:rsid w:val="00793050"/>
    <w:rsid w:val="007B647D"/>
    <w:rsid w:val="007C22DD"/>
    <w:rsid w:val="0081295F"/>
    <w:rsid w:val="008133C6"/>
    <w:rsid w:val="008654F8"/>
    <w:rsid w:val="008B346C"/>
    <w:rsid w:val="008B724D"/>
    <w:rsid w:val="008F4E1D"/>
    <w:rsid w:val="00920CE5"/>
    <w:rsid w:val="00923E7C"/>
    <w:rsid w:val="0093551C"/>
    <w:rsid w:val="00960A45"/>
    <w:rsid w:val="00967CE6"/>
    <w:rsid w:val="00990B3F"/>
    <w:rsid w:val="00995854"/>
    <w:rsid w:val="009D1E81"/>
    <w:rsid w:val="009D34F7"/>
    <w:rsid w:val="009D599B"/>
    <w:rsid w:val="009E14B8"/>
    <w:rsid w:val="009E759D"/>
    <w:rsid w:val="00A2091F"/>
    <w:rsid w:val="00A236FB"/>
    <w:rsid w:val="00A27E1F"/>
    <w:rsid w:val="00A54A0B"/>
    <w:rsid w:val="00A744D4"/>
    <w:rsid w:val="00A90229"/>
    <w:rsid w:val="00AD18FF"/>
    <w:rsid w:val="00AD4413"/>
    <w:rsid w:val="00AF0AF3"/>
    <w:rsid w:val="00B4008D"/>
    <w:rsid w:val="00B47AF7"/>
    <w:rsid w:val="00B874CA"/>
    <w:rsid w:val="00B91D2A"/>
    <w:rsid w:val="00BA0EB6"/>
    <w:rsid w:val="00BC2DB4"/>
    <w:rsid w:val="00BC3365"/>
    <w:rsid w:val="00BC58B9"/>
    <w:rsid w:val="00BC707B"/>
    <w:rsid w:val="00BD0399"/>
    <w:rsid w:val="00BD3ADE"/>
    <w:rsid w:val="00BE01BD"/>
    <w:rsid w:val="00C05B62"/>
    <w:rsid w:val="00C20FB5"/>
    <w:rsid w:val="00C24D14"/>
    <w:rsid w:val="00C3432D"/>
    <w:rsid w:val="00C444D0"/>
    <w:rsid w:val="00C66436"/>
    <w:rsid w:val="00C7565D"/>
    <w:rsid w:val="00C7652D"/>
    <w:rsid w:val="00C7727A"/>
    <w:rsid w:val="00C87BEB"/>
    <w:rsid w:val="00CF0DCB"/>
    <w:rsid w:val="00D11F28"/>
    <w:rsid w:val="00D1358C"/>
    <w:rsid w:val="00D27ED9"/>
    <w:rsid w:val="00D63351"/>
    <w:rsid w:val="00D634FF"/>
    <w:rsid w:val="00D9050B"/>
    <w:rsid w:val="00DA420E"/>
    <w:rsid w:val="00DB0160"/>
    <w:rsid w:val="00E01B44"/>
    <w:rsid w:val="00E021D2"/>
    <w:rsid w:val="00E02694"/>
    <w:rsid w:val="00E0337F"/>
    <w:rsid w:val="00E35894"/>
    <w:rsid w:val="00E51F7A"/>
    <w:rsid w:val="00E712E4"/>
    <w:rsid w:val="00E83FAC"/>
    <w:rsid w:val="00E95034"/>
    <w:rsid w:val="00EA0BC9"/>
    <w:rsid w:val="00EE1F79"/>
    <w:rsid w:val="00F030D6"/>
    <w:rsid w:val="00F2439F"/>
    <w:rsid w:val="00F32030"/>
    <w:rsid w:val="00F61064"/>
    <w:rsid w:val="00F61171"/>
    <w:rsid w:val="00F73353"/>
    <w:rsid w:val="00F83DEF"/>
    <w:rsid w:val="00FC4ED0"/>
    <w:rsid w:val="00FC6A6F"/>
    <w:rsid w:val="00FD2936"/>
    <w:rsid w:val="00FE1124"/>
    <w:rsid w:val="00FF2519"/>
    <w:rsid w:val="04D87301"/>
    <w:rsid w:val="11052878"/>
    <w:rsid w:val="114A726B"/>
    <w:rsid w:val="213D6E16"/>
    <w:rsid w:val="25223DF2"/>
    <w:rsid w:val="26AB74FD"/>
    <w:rsid w:val="27523966"/>
    <w:rsid w:val="2DF97A1E"/>
    <w:rsid w:val="32CF5159"/>
    <w:rsid w:val="33C84AEA"/>
    <w:rsid w:val="529E776B"/>
    <w:rsid w:val="5EFF5F50"/>
    <w:rsid w:val="6A425D68"/>
    <w:rsid w:val="6D542566"/>
    <w:rsid w:val="73E8618A"/>
    <w:rsid w:val="7F97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qFormat="1" w:unhideWhenUsed="0" w:uiPriority="39" w:semiHidden="0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qFormat="1" w:unhideWhenUsed="0" w:uiPriority="0" w:semiHidden="0" w:name="List Bullet"/>
    <w:lsdException w:qFormat="1" w:unhideWhenUsed="0" w:uiPriority="0" w:semiHidden="0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Number"/>
    <w:basedOn w:val="12"/>
    <w:qFormat/>
    <w:uiPriority w:val="0"/>
    <w:pPr>
      <w:numPr>
        <w:ilvl w:val="0"/>
        <w:numId w:val="1"/>
      </w:numPr>
      <w:spacing w:after="120" w:line="259" w:lineRule="auto"/>
      <w:contextualSpacing w:val="0"/>
      <w:jc w:val="both"/>
    </w:pPr>
    <w:rPr>
      <w:rFonts w:ascii="Arial" w:hAnsi="Arial" w:eastAsiaTheme="minorHAnsi" w:cstheme="minorBidi"/>
      <w:szCs w:val="22"/>
      <w:lang w:val="en-US" w:eastAsia="ja-JP"/>
    </w:rPr>
  </w:style>
  <w:style w:type="paragraph" w:styleId="12">
    <w:name w:val="List"/>
    <w:basedOn w:val="1"/>
    <w:semiHidden/>
    <w:unhideWhenUsed/>
    <w:qFormat/>
    <w:uiPriority w:val="99"/>
    <w:pPr>
      <w:ind w:left="283" w:hanging="283"/>
      <w:contextualSpacing/>
    </w:pPr>
  </w:style>
  <w:style w:type="paragraph" w:styleId="13">
    <w:name w:val="List Bullet"/>
    <w:basedOn w:val="12"/>
    <w:qFormat/>
    <w:uiPriority w:val="0"/>
    <w:pPr>
      <w:numPr>
        <w:ilvl w:val="0"/>
        <w:numId w:val="2"/>
      </w:numPr>
      <w:tabs>
        <w:tab w:val="left" w:pos="720"/>
      </w:tabs>
      <w:spacing w:after="120" w:line="259" w:lineRule="auto"/>
      <w:ind w:left="720"/>
      <w:contextualSpacing w:val="0"/>
      <w:jc w:val="both"/>
    </w:pPr>
    <w:rPr>
      <w:rFonts w:ascii="Arial" w:hAnsi="Arial" w:eastAsiaTheme="minorHAnsi" w:cstheme="minorBidi"/>
      <w:szCs w:val="22"/>
      <w:lang w:val="en-US" w:eastAsia="ja-JP"/>
    </w:rPr>
  </w:style>
  <w:style w:type="paragraph" w:styleId="14">
    <w:name w:val="annotation text"/>
    <w:basedOn w:val="1"/>
    <w:link w:val="40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5">
    <w:name w:val="Body Text"/>
    <w:basedOn w:val="1"/>
    <w:link w:val="39"/>
    <w:semiHidden/>
    <w:qFormat/>
    <w:uiPriority w:val="0"/>
    <w:rPr>
      <w:rFonts w:ascii="Arial" w:hAnsi="Arial" w:cs="Arial"/>
      <w:color w:val="FF0000"/>
    </w:rPr>
  </w:style>
  <w:style w:type="paragraph" w:styleId="16">
    <w:name w:val="toc 8"/>
    <w:basedOn w:val="17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2693" w:right="425" w:hanging="2693"/>
      <w:textAlignment w:val="baseline"/>
    </w:pPr>
    <w:rPr>
      <w:b/>
      <w:sz w:val="22"/>
      <w:lang w:eastAsia="ja-JP"/>
    </w:rPr>
  </w:style>
  <w:style w:type="paragraph" w:styleId="17">
    <w:name w:val="toc 1"/>
    <w:basedOn w:val="1"/>
    <w:next w:val="1"/>
    <w:semiHidden/>
    <w:unhideWhenUsed/>
    <w:qFormat/>
    <w:uiPriority w:val="39"/>
    <w:pPr>
      <w:spacing w:after="100"/>
    </w:pPr>
  </w:style>
  <w:style w:type="paragraph" w:styleId="18">
    <w:name w:val="Balloon Text"/>
    <w:basedOn w:val="1"/>
    <w:link w:val="3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9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20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21">
    <w:name w:val="Title"/>
    <w:basedOn w:val="1"/>
    <w:next w:val="1"/>
    <w:link w:val="41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22">
    <w:name w:val="annotation subject"/>
    <w:basedOn w:val="14"/>
    <w:next w:val="14"/>
    <w:link w:val="48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24">
    <w:name w:val="Table Grid"/>
    <w:basedOn w:val="2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6">
    <w:name w:val="page number"/>
    <w:basedOn w:val="25"/>
    <w:semiHidden/>
    <w:qFormat/>
    <w:uiPriority w:val="0"/>
  </w:style>
  <w:style w:type="character" w:styleId="27">
    <w:name w:val="Emphasis"/>
    <w:basedOn w:val="25"/>
    <w:qFormat/>
    <w:uiPriority w:val="0"/>
    <w:rPr>
      <w:i/>
      <w:iCs/>
    </w:rPr>
  </w:style>
  <w:style w:type="character" w:styleId="28">
    <w:name w:val="Hyperlink"/>
    <w:basedOn w:val="25"/>
    <w:unhideWhenUsed/>
    <w:qFormat/>
    <w:uiPriority w:val="99"/>
    <w:rPr>
      <w:color w:val="0000FF"/>
      <w:u w:val="single"/>
    </w:rPr>
  </w:style>
  <w:style w:type="character" w:styleId="29">
    <w:name w:val="annotation reference"/>
    <w:basedOn w:val="25"/>
    <w:semiHidden/>
    <w:qFormat/>
    <w:uiPriority w:val="0"/>
    <w:rPr>
      <w:sz w:val="16"/>
    </w:rPr>
  </w:style>
  <w:style w:type="paragraph" w:customStyle="1" w:styleId="30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3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32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33">
    <w:name w:val="??? 2"/>
    <w:basedOn w:val="32"/>
    <w:next w:val="32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4">
    <w:name w:val="DECISION"/>
    <w:basedOn w:val="1"/>
    <w:qFormat/>
    <w:uiPriority w:val="0"/>
    <w:pPr>
      <w:widowControl w:val="0"/>
      <w:numPr>
        <w:ilvl w:val="0"/>
        <w:numId w:val="3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5">
    <w:name w:val="ACTION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6">
    <w:name w:val="done"/>
    <w:basedOn w:val="35"/>
    <w:qFormat/>
    <w:uiPriority w:val="0"/>
    <w:pPr>
      <w:numPr>
        <w:numId w:val="5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7">
    <w:name w:val="Not Done"/>
    <w:basedOn w:val="36"/>
    <w:qFormat/>
    <w:uiPriority w:val="0"/>
    <w:pPr>
      <w:numPr>
        <w:numId w:val="6"/>
      </w:numPr>
      <w:tabs>
        <w:tab w:val="left" w:pos="0"/>
      </w:tabs>
    </w:pPr>
    <w:rPr>
      <w:color w:val="FF0000"/>
    </w:rPr>
  </w:style>
  <w:style w:type="character" w:customStyle="1" w:styleId="38">
    <w:name w:val="Balloon Text Char"/>
    <w:basedOn w:val="25"/>
    <w:link w:val="18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9">
    <w:name w:val="Body Text Char"/>
    <w:basedOn w:val="25"/>
    <w:link w:val="15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40">
    <w:name w:val="Comment Text Char"/>
    <w:basedOn w:val="25"/>
    <w:link w:val="14"/>
    <w:semiHidden/>
    <w:qFormat/>
    <w:uiPriority w:val="0"/>
    <w:rPr>
      <w:rFonts w:ascii="Arial" w:hAnsi="Arial"/>
      <w:lang w:eastAsia="en-US"/>
    </w:rPr>
  </w:style>
  <w:style w:type="character" w:customStyle="1" w:styleId="41">
    <w:name w:val="Title Char"/>
    <w:basedOn w:val="25"/>
    <w:link w:val="21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42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43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44">
    <w:name w:val="Unresolved Mention1"/>
    <w:basedOn w:val="25"/>
    <w:semiHidden/>
    <w:unhideWhenUsed/>
    <w:qFormat/>
    <w:uiPriority w:val="99"/>
    <w:rPr>
      <w:color w:val="605E5C"/>
      <w:shd w:val="clear" w:color="auto" w:fill="E1DFDD"/>
    </w:rPr>
  </w:style>
  <w:style w:type="paragraph" w:styleId="45">
    <w:name w:val="List Paragraph"/>
    <w:basedOn w:val="1"/>
    <w:link w:val="46"/>
    <w:qFormat/>
    <w:uiPriority w:val="34"/>
    <w:pPr>
      <w:ind w:left="720"/>
    </w:pPr>
    <w:rPr>
      <w:rFonts w:ascii="Calibri" w:hAnsi="Calibri" w:eastAsia="Calibri"/>
      <w:sz w:val="22"/>
      <w:szCs w:val="22"/>
      <w:lang w:eastAsia="en-GB"/>
    </w:rPr>
  </w:style>
  <w:style w:type="character" w:customStyle="1" w:styleId="46">
    <w:name w:val="List Paragraph Char"/>
    <w:link w:val="45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paragraph" w:customStyle="1" w:styleId="47">
    <w:name w:val="Agreement"/>
    <w:basedOn w:val="1"/>
    <w:next w:val="1"/>
    <w:qFormat/>
    <w:uiPriority w:val="99"/>
    <w:pPr>
      <w:numPr>
        <w:ilvl w:val="0"/>
        <w:numId w:val="7"/>
      </w:numPr>
      <w:spacing w:before="60"/>
    </w:pPr>
    <w:rPr>
      <w:rFonts w:ascii="Arial" w:hAnsi="Arial" w:eastAsia="MS Mincho"/>
      <w:b/>
      <w:szCs w:val="24"/>
      <w:lang w:eastAsia="en-GB"/>
    </w:rPr>
  </w:style>
  <w:style w:type="character" w:customStyle="1" w:styleId="48">
    <w:name w:val="Comment Subject Char"/>
    <w:basedOn w:val="40"/>
    <w:link w:val="22"/>
    <w:semiHidden/>
    <w:qFormat/>
    <w:uiPriority w:val="99"/>
    <w:rPr>
      <w:rFonts w:ascii="Arial" w:hAnsi="Arial"/>
      <w:b/>
      <w:bCs/>
      <w:lang w:val="en-GB" w:eastAsia="en-US"/>
    </w:rPr>
  </w:style>
  <w:style w:type="paragraph" w:customStyle="1" w:styleId="49">
    <w:name w:val="TH"/>
    <w:basedOn w:val="1"/>
    <w:link w:val="51"/>
    <w:qFormat/>
    <w:locked/>
    <w:uiPriority w:val="0"/>
    <w:pPr>
      <w:keepNext/>
      <w:keepLines/>
      <w:spacing w:before="60" w:after="160" w:line="259" w:lineRule="auto"/>
      <w:jc w:val="center"/>
    </w:pPr>
    <w:rPr>
      <w:rFonts w:ascii="Arial" w:hAnsi="Arial" w:eastAsiaTheme="minorHAnsi" w:cstheme="minorBidi"/>
      <w:b/>
      <w:szCs w:val="22"/>
      <w:lang w:val="zh-CN" w:eastAsia="zh-CN"/>
    </w:rPr>
  </w:style>
  <w:style w:type="paragraph" w:customStyle="1" w:styleId="50">
    <w:name w:val="TF"/>
    <w:basedOn w:val="49"/>
    <w:link w:val="52"/>
    <w:qFormat/>
    <w:locked/>
    <w:uiPriority w:val="0"/>
    <w:pPr>
      <w:keepNext w:val="0"/>
      <w:spacing w:before="0" w:after="240"/>
    </w:pPr>
  </w:style>
  <w:style w:type="character" w:customStyle="1" w:styleId="51">
    <w:name w:val="TH Char"/>
    <w:link w:val="49"/>
    <w:qFormat/>
    <w:uiPriority w:val="0"/>
    <w:rPr>
      <w:rFonts w:ascii="Arial" w:hAnsi="Arial" w:eastAsiaTheme="minorHAnsi" w:cstheme="minorBidi"/>
      <w:b/>
      <w:szCs w:val="22"/>
      <w:lang w:val="zh-CN" w:eastAsia="zh-CN"/>
    </w:rPr>
  </w:style>
  <w:style w:type="character" w:customStyle="1" w:styleId="52">
    <w:name w:val="TF Char"/>
    <w:link w:val="50"/>
    <w:qFormat/>
    <w:uiPriority w:val="0"/>
    <w:rPr>
      <w:rFonts w:ascii="Arial" w:hAnsi="Arial" w:eastAsiaTheme="minorHAnsi" w:cstheme="minorBidi"/>
      <w:b/>
      <w:szCs w:val="22"/>
      <w:lang w:val="zh-CN" w:eastAsia="zh-CN"/>
    </w:rPr>
  </w:style>
  <w:style w:type="paragraph" w:customStyle="1" w:styleId="53">
    <w:name w:val="TAL"/>
    <w:basedOn w:val="1"/>
    <w:link w:val="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54">
    <w:name w:val="TAL Car"/>
    <w:basedOn w:val="25"/>
    <w:link w:val="53"/>
    <w:qFormat/>
    <w:locked/>
    <w:uiPriority w:val="0"/>
    <w:rPr>
      <w:rFonts w:ascii="Arial" w:hAnsi="Arial"/>
      <w:sz w:val="18"/>
      <w:lang w:val="en-GB" w:eastAsia="ja-JP"/>
    </w:rPr>
  </w:style>
  <w:style w:type="paragraph" w:customStyle="1" w:styleId="55">
    <w:name w:val="PL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20BB54E-5419-4FE4-BBDA-632E69C88DC8}">
  <ds:schemaRefs/>
</ds:datastoreItem>
</file>

<file path=customXml/itemProps2.xml><?xml version="1.0" encoding="utf-8"?>
<ds:datastoreItem xmlns:ds="http://schemas.openxmlformats.org/officeDocument/2006/customXml" ds:itemID="{01CA3C0A-4E6A-4DC6-9A3B-CF641DCAC1F7}">
  <ds:schemaRefs/>
</ds:datastoreItem>
</file>

<file path=customXml/itemProps3.xml><?xml version="1.0" encoding="utf-8"?>
<ds:datastoreItem xmlns:ds="http://schemas.openxmlformats.org/officeDocument/2006/customXml" ds:itemID="{7D18484F-4781-4021-9BA3-3DC3487EE6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388</Words>
  <Characters>2213</Characters>
  <Lines>18</Lines>
  <Paragraphs>5</Paragraphs>
  <TotalTime>1</TotalTime>
  <ScaleCrop>false</ScaleCrop>
  <LinksUpToDate>false</LinksUpToDate>
  <CharactersWithSpaces>2596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2024-02-07T09:33:00Z</dcterms:created>
  <dcterms:modified xsi:type="dcterms:W3CDTF">2024-02-19T03:43:52Z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KSOProductBuildVer">
    <vt:lpwstr>2052-11.8.2.11718</vt:lpwstr>
  </property>
  <property fmtid="{D5CDD505-2E9C-101B-9397-08002B2CF9AE}" pid="5" name="ICV">
    <vt:lpwstr>77DC45010D364A07A60F08BDA8D255E7</vt:lpwstr>
  </property>
</Properties>
</file>